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7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5812"/>
      </w:tblGrid>
      <w:tr w:rsidR="00645936" w:rsidTr="003E4082">
        <w:tc>
          <w:tcPr>
            <w:tcW w:w="4962" w:type="dxa"/>
          </w:tcPr>
          <w:p w:rsidR="000121C2" w:rsidRPr="000121C2" w:rsidRDefault="000121C2" w:rsidP="0064593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21C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HỘI ĐỒNG THUỐC VÀ ĐIỀU TRỊ</w:t>
            </w:r>
          </w:p>
          <w:p w:rsidR="000121C2" w:rsidRDefault="0044474A" w:rsidP="0064593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75.9pt;margin-top:16.85pt;width:84.75pt;height:0;z-index:251658240" o:connectortype="straight"/>
              </w:pict>
            </w:r>
            <w:r w:rsidR="000121C2" w:rsidRPr="000121C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ĐƠN VỊ THÔNG TIN THUỐC</w:t>
            </w:r>
          </w:p>
          <w:p w:rsidR="007C3950" w:rsidRDefault="00CF2F02" w:rsidP="0064593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CF2F02">
              <w:rPr>
                <w:rFonts w:ascii="Times New Roman" w:eastAsia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="0084081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/BVLH-TTT</w:t>
            </w:r>
          </w:p>
          <w:p w:rsidR="00125C85" w:rsidRDefault="00125C85" w:rsidP="0064593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V/v cung c</w:t>
            </w:r>
            <w:r w:rsidRPr="00125C85">
              <w:rPr>
                <w:rFonts w:ascii="Times New Roman" w:eastAsia="Times New Roman" w:hAnsi="Times New Roman" w:cs="Times New Roman"/>
                <w:sz w:val="24"/>
                <w:szCs w:val="24"/>
              </w:rPr>
              <w:t>ấp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</w:t>
            </w:r>
            <w:r w:rsidRPr="00125C85">
              <w:rPr>
                <w:rFonts w:ascii="Times New Roman" w:eastAsia="Times New Roman" w:hAnsi="Times New Roman" w:cs="Times New Roman"/>
                <w:sz w:val="24"/>
                <w:szCs w:val="24"/>
              </w:rPr>
              <w:t>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 tin </w:t>
            </w:r>
          </w:p>
          <w:p w:rsidR="00125C85" w:rsidRDefault="00125C85" w:rsidP="0064593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r w:rsidRPr="00125C85">
              <w:rPr>
                <w:rFonts w:ascii="Times New Roman" w:eastAsia="Times New Roman" w:hAnsi="Times New Roman" w:cs="Times New Roman"/>
                <w:sz w:val="24"/>
                <w:szCs w:val="24"/>
              </w:rPr>
              <w:t>ốc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</w:t>
            </w:r>
            <w:r w:rsidRPr="00125C85">
              <w:rPr>
                <w:rFonts w:ascii="Times New Roman" w:eastAsia="Times New Roman" w:hAnsi="Times New Roman" w:cs="Times New Roman"/>
                <w:sz w:val="24"/>
                <w:szCs w:val="24"/>
              </w:rPr>
              <w:t>ới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  <w:r w:rsidRPr="00125C85">
              <w:rPr>
                <w:rFonts w:ascii="Times New Roman" w:eastAsia="Times New Roman" w:hAnsi="Times New Roman" w:cs="Times New Roman"/>
                <w:sz w:val="24"/>
                <w:szCs w:val="24"/>
              </w:rPr>
              <w:t>ef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tizoxime</w:t>
            </w:r>
          </w:p>
        </w:tc>
        <w:tc>
          <w:tcPr>
            <w:tcW w:w="5812" w:type="dxa"/>
          </w:tcPr>
          <w:p w:rsidR="000121C2" w:rsidRPr="000121C2" w:rsidRDefault="000121C2" w:rsidP="0064593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21C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0F31B4" w:rsidRDefault="0044474A" w:rsidP="000F31B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pict>
                <v:shape id="_x0000_s1027" type="#_x0000_t32" style="position:absolute;left:0;text-align:left;margin-left:109.35pt;margin-top:16.1pt;width:84.75pt;height:0;z-index:251659264" o:connectortype="straight"/>
              </w:pict>
            </w:r>
            <w:r w:rsidR="000121C2" w:rsidRPr="000121C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0121C2" w:rsidRPr="000F31B4" w:rsidRDefault="000121C2" w:rsidP="000F31B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21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Lộc Hà, ngày 16 tháng 01 năm 2017</w:t>
            </w:r>
          </w:p>
        </w:tc>
      </w:tr>
    </w:tbl>
    <w:p w:rsidR="00517EE5" w:rsidRPr="00636624" w:rsidRDefault="00C24A19" w:rsidP="00517E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145C7">
        <w:rPr>
          <w:rFonts w:ascii="Times New Roman" w:eastAsia="Times New Roman" w:hAnsi="Times New Roman" w:cs="Times New Roman"/>
          <w:sz w:val="24"/>
          <w:szCs w:val="24"/>
        </w:rPr>
        <w:tab/>
      </w:r>
      <w:r w:rsidRPr="00636624">
        <w:rPr>
          <w:rFonts w:ascii="Times New Roman" w:eastAsia="Times New Roman" w:hAnsi="Times New Roman" w:cs="Times New Roman"/>
          <w:sz w:val="28"/>
          <w:szCs w:val="28"/>
        </w:rPr>
        <w:t>Kính gửi:</w:t>
      </w:r>
      <w:r w:rsidR="00A65D7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36624">
        <w:rPr>
          <w:rFonts w:ascii="Times New Roman" w:eastAsia="Times New Roman" w:hAnsi="Times New Roman" w:cs="Times New Roman"/>
          <w:sz w:val="28"/>
          <w:szCs w:val="28"/>
        </w:rPr>
        <w:t xml:space="preserve"> - Các khoa lâm sàng.</w:t>
      </w:r>
    </w:p>
    <w:p w:rsidR="00C24A19" w:rsidRPr="00517EE5" w:rsidRDefault="003903E9" w:rsidP="003903E9">
      <w:pPr>
        <w:spacing w:before="100" w:beforeAutospacing="1" w:after="100" w:afterAutospacing="1" w:line="240" w:lineRule="auto"/>
        <w:ind w:right="-42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24A19" w:rsidRPr="00636624">
        <w:rPr>
          <w:rFonts w:ascii="Times New Roman" w:eastAsia="Times New Roman" w:hAnsi="Times New Roman" w:cs="Times New Roman"/>
          <w:sz w:val="28"/>
          <w:szCs w:val="28"/>
        </w:rPr>
        <w:t xml:space="preserve">Đơn vị Thông tin thuốc cung cấp </w:t>
      </w:r>
      <w:r>
        <w:rPr>
          <w:rFonts w:ascii="Times New Roman" w:eastAsia="Times New Roman" w:hAnsi="Times New Roman" w:cs="Times New Roman"/>
          <w:sz w:val="28"/>
          <w:szCs w:val="28"/>
        </w:rPr>
        <w:t>đ</w:t>
      </w:r>
      <w:r w:rsidRPr="003903E9">
        <w:rPr>
          <w:rFonts w:ascii="Times New Roman" w:eastAsia="Times New Roman" w:hAnsi="Times New Roman" w:cs="Times New Roman"/>
          <w:sz w:val="28"/>
          <w:szCs w:val="28"/>
        </w:rPr>
        <w:t>ến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r w:rsidRPr="003903E9">
        <w:rPr>
          <w:rFonts w:ascii="Times New Roman" w:eastAsia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sz w:val="28"/>
          <w:szCs w:val="28"/>
        </w:rPr>
        <w:t>c khoa l</w:t>
      </w:r>
      <w:r w:rsidRPr="003903E9">
        <w:rPr>
          <w:rFonts w:ascii="Times New Roman" w:eastAsia="Times New Roman" w:hAnsi="Times New Roman" w:cs="Times New Roman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sz w:val="28"/>
          <w:szCs w:val="28"/>
        </w:rPr>
        <w:t>m s</w:t>
      </w:r>
      <w:r w:rsidRPr="003903E9">
        <w:rPr>
          <w:rFonts w:ascii="Times New Roman" w:eastAsia="Times New Roman" w:hAnsi="Times New Roman" w:cs="Times New Roman"/>
          <w:sz w:val="28"/>
          <w:szCs w:val="28"/>
        </w:rPr>
        <w:t>àng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4A19" w:rsidRPr="00636624">
        <w:rPr>
          <w:rFonts w:ascii="Times New Roman" w:eastAsia="Times New Roman" w:hAnsi="Times New Roman" w:cs="Times New Roman"/>
          <w:sz w:val="28"/>
          <w:szCs w:val="28"/>
        </w:rPr>
        <w:t xml:space="preserve">một số thông tin </w:t>
      </w:r>
      <w:r>
        <w:rPr>
          <w:rFonts w:ascii="Times New Roman" w:eastAsia="Times New Roman" w:hAnsi="Times New Roman" w:cs="Times New Roman"/>
          <w:sz w:val="28"/>
          <w:szCs w:val="28"/>
        </w:rPr>
        <w:t>li</w:t>
      </w:r>
      <w:r w:rsidRPr="003903E9">
        <w:rPr>
          <w:rFonts w:ascii="Times New Roman" w:eastAsia="Times New Roman" w:hAnsi="Times New Roman" w:cs="Times New Roman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sz w:val="28"/>
          <w:szCs w:val="28"/>
        </w:rPr>
        <w:t>n quan đ</w:t>
      </w:r>
      <w:r w:rsidRPr="003903E9">
        <w:rPr>
          <w:rFonts w:ascii="Times New Roman" w:eastAsia="Times New Roman" w:hAnsi="Times New Roman" w:cs="Times New Roman"/>
          <w:sz w:val="28"/>
          <w:szCs w:val="28"/>
        </w:rPr>
        <w:t>ến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thu</w:t>
      </w:r>
      <w:r w:rsidRPr="003903E9">
        <w:rPr>
          <w:rFonts w:ascii="Times New Roman" w:eastAsia="Times New Roman" w:hAnsi="Times New Roman" w:cs="Times New Roman"/>
          <w:sz w:val="28"/>
          <w:szCs w:val="28"/>
        </w:rPr>
        <w:t>ốc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</w:t>
      </w:r>
      <w:r w:rsidRPr="003903E9">
        <w:rPr>
          <w:rFonts w:ascii="Times New Roman" w:eastAsia="Times New Roman" w:hAnsi="Times New Roman" w:cs="Times New Roman"/>
          <w:sz w:val="28"/>
          <w:szCs w:val="28"/>
        </w:rPr>
        <w:t>ới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r w:rsidRPr="003903E9">
        <w:rPr>
          <w:rFonts w:ascii="Times New Roman" w:eastAsia="Times New Roman" w:hAnsi="Times New Roman" w:cs="Times New Roman"/>
          <w:sz w:val="28"/>
          <w:szCs w:val="28"/>
        </w:rPr>
        <w:t>ef</w:t>
      </w:r>
      <w:r>
        <w:rPr>
          <w:rFonts w:ascii="Times New Roman" w:eastAsia="Times New Roman" w:hAnsi="Times New Roman" w:cs="Times New Roman"/>
          <w:sz w:val="28"/>
          <w:szCs w:val="28"/>
        </w:rPr>
        <w:t>tizoxime 1g đư</w:t>
      </w:r>
      <w:r w:rsidRPr="003903E9">
        <w:rPr>
          <w:rFonts w:ascii="Times New Roman" w:eastAsia="Times New Roman" w:hAnsi="Times New Roman" w:cs="Times New Roman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sz w:val="28"/>
          <w:szCs w:val="28"/>
        </w:rPr>
        <w:t>c s</w:t>
      </w:r>
      <w:r w:rsidRPr="003903E9">
        <w:rPr>
          <w:rFonts w:ascii="Times New Roman" w:eastAsia="Times New Roman" w:hAnsi="Times New Roman" w:cs="Times New Roman"/>
          <w:sz w:val="28"/>
          <w:szCs w:val="28"/>
        </w:rPr>
        <w:t>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</w:t>
      </w:r>
      <w:r w:rsidRPr="003903E9">
        <w:rPr>
          <w:rFonts w:ascii="Times New Roman" w:eastAsia="Times New Roman" w:hAnsi="Times New Roman" w:cs="Times New Roman"/>
          <w:sz w:val="28"/>
          <w:szCs w:val="28"/>
        </w:rPr>
        <w:t>ụng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trong b</w:t>
      </w:r>
      <w:r w:rsidRPr="003903E9">
        <w:rPr>
          <w:rFonts w:ascii="Times New Roman" w:eastAsia="Times New Roman" w:hAnsi="Times New Roman" w:cs="Times New Roman"/>
          <w:sz w:val="28"/>
          <w:szCs w:val="28"/>
        </w:rPr>
        <w:t>ệnh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vi</w:t>
      </w:r>
      <w:r w:rsidRPr="003903E9">
        <w:rPr>
          <w:rFonts w:ascii="Times New Roman" w:eastAsia="Times New Roman" w:hAnsi="Times New Roman" w:cs="Times New Roman"/>
          <w:sz w:val="28"/>
          <w:szCs w:val="28"/>
        </w:rPr>
        <w:t>ện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10207" w:type="dxa"/>
        <w:tblCellSpacing w:w="15" w:type="dxa"/>
        <w:tblInd w:w="-209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51"/>
        <w:gridCol w:w="8056"/>
      </w:tblGrid>
      <w:tr w:rsidR="00517EE5" w:rsidRPr="00517EE5" w:rsidTr="007A096B">
        <w:trPr>
          <w:tblCellSpacing w:w="15" w:type="dxa"/>
        </w:trPr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7EE5" w:rsidRPr="00517EE5" w:rsidRDefault="00517EE5" w:rsidP="003B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0" w:name="Manufacturer"/>
            <w:bookmarkEnd w:id="0"/>
            <w:r w:rsidRPr="00583B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Nhà sản xuất</w:t>
            </w:r>
            <w:r w:rsidR="008C3B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8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7EE5" w:rsidRPr="00517EE5" w:rsidRDefault="00FD4D9C" w:rsidP="003B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Công ty Cổ phần Dược phẩm Tenamyd - Việt Nam </w:t>
            </w:r>
          </w:p>
        </w:tc>
      </w:tr>
      <w:tr w:rsidR="008D35CC" w:rsidRPr="00517EE5" w:rsidTr="007A096B">
        <w:trPr>
          <w:tblCellSpacing w:w="15" w:type="dxa"/>
        </w:trPr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35CC" w:rsidRPr="00583B1F" w:rsidRDefault="008D35CC" w:rsidP="003B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83B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Biệt dược</w:t>
            </w:r>
            <w:r w:rsidR="008C3B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8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35CC" w:rsidRPr="008D35CC" w:rsidRDefault="008D35CC" w:rsidP="003B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35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Ceftibiotic 1000 </w:t>
            </w:r>
          </w:p>
        </w:tc>
      </w:tr>
      <w:tr w:rsidR="00517EE5" w:rsidRPr="00517EE5" w:rsidTr="007A096B">
        <w:trPr>
          <w:tblCellSpacing w:w="15" w:type="dxa"/>
        </w:trPr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7EE5" w:rsidRPr="00517EE5" w:rsidRDefault="00517EE5" w:rsidP="003B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1" w:name="Content"/>
            <w:bookmarkEnd w:id="1"/>
            <w:r w:rsidRPr="00583B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Thành phần</w:t>
            </w:r>
          </w:p>
        </w:tc>
        <w:tc>
          <w:tcPr>
            <w:tcW w:w="8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7EE5" w:rsidRPr="00517EE5" w:rsidRDefault="00517EE5" w:rsidP="003B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6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Ceftizoxime. </w:t>
            </w:r>
          </w:p>
        </w:tc>
      </w:tr>
      <w:tr w:rsidR="00517EE5" w:rsidRPr="00517EE5" w:rsidTr="007A096B">
        <w:trPr>
          <w:tblCellSpacing w:w="15" w:type="dxa"/>
        </w:trPr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7EE5" w:rsidRPr="00517EE5" w:rsidRDefault="00517EE5" w:rsidP="003B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2" w:name="Indications"/>
            <w:bookmarkEnd w:id="2"/>
            <w:r w:rsidRPr="00583B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Chỉ định/Công dụng</w:t>
            </w:r>
          </w:p>
        </w:tc>
        <w:tc>
          <w:tcPr>
            <w:tcW w:w="8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083" w:rsidRDefault="00517EE5" w:rsidP="003B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624">
              <w:rPr>
                <w:rFonts w:ascii="Times New Roman" w:eastAsia="Times New Roman" w:hAnsi="Times New Roman" w:cs="Times New Roman"/>
                <w:sz w:val="28"/>
                <w:szCs w:val="28"/>
              </w:rPr>
              <w:t>NT xương khớp, NT máu, viêm nội tâm mạc nhiễm khuẩn, NT thứ phát khi chấn thương/bỏng, viêm phế quản, giãn phế quản bội nhiễm, NT thứ phát bệnh mạn tính đường hô hấ</w:t>
            </w:r>
          </w:p>
          <w:p w:rsidR="00517EE5" w:rsidRPr="00517EE5" w:rsidRDefault="00517EE5" w:rsidP="003B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36624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proofErr w:type="gramEnd"/>
            <w:r w:rsidRPr="006366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viêm phổi, mưng mủ phổi, tràn mủ màng phổi, viêm đường mật/túi mật, viêm phúc mạc/thận-bể thận/bàng quang/tuyến tiền liệt, viêm mô cận tử cung/nội mạc tử cung/vùng chậu, viêm màng não mủ. </w:t>
            </w:r>
          </w:p>
        </w:tc>
      </w:tr>
      <w:tr w:rsidR="00517EE5" w:rsidRPr="00517EE5" w:rsidTr="007A096B">
        <w:trPr>
          <w:tblCellSpacing w:w="15" w:type="dxa"/>
        </w:trPr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7EE5" w:rsidRPr="00517EE5" w:rsidRDefault="00517EE5" w:rsidP="003B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3" w:name="Dosage"/>
            <w:bookmarkEnd w:id="3"/>
            <w:r w:rsidRPr="00583B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Liều dùng/Hướng dẫn sử dụng</w:t>
            </w:r>
          </w:p>
        </w:tc>
        <w:tc>
          <w:tcPr>
            <w:tcW w:w="8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7EE5" w:rsidRPr="00517EE5" w:rsidRDefault="00517EE5" w:rsidP="003B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6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Người lớn:</w:t>
            </w:r>
            <w:r w:rsidRPr="006366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1-2 g/8-12 giờ. </w:t>
            </w:r>
            <w:r w:rsidRPr="006366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NT tiết niệu không biến chứng:</w:t>
            </w:r>
            <w:r w:rsidRPr="006366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500 mg/12 giờ. </w:t>
            </w:r>
            <w:r w:rsidRPr="006366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NT nặng/có biến chứng:</w:t>
            </w:r>
            <w:r w:rsidRPr="006366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g/8 giờ hoặc 2 g/8-12 giờ. </w:t>
            </w:r>
            <w:r w:rsidRPr="006366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NT nặng nguy hiểm tính mạng:</w:t>
            </w:r>
            <w:r w:rsidRPr="006366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3-4 g/8 giờ hoặc 2 g/4 giờ (IV). </w:t>
            </w:r>
            <w:r w:rsidRPr="006366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NT máu:</w:t>
            </w:r>
            <w:r w:rsidRPr="006366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khởi đầu 6-12 g/ngày, sau đó giảm liều tùy theo đáp ứng. </w:t>
            </w:r>
            <w:r w:rsidRPr="006366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Lậu không biến chứng:</w:t>
            </w:r>
            <w:r w:rsidRPr="006366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liều duy nhất 1 g (IM). </w:t>
            </w:r>
            <w:r w:rsidRPr="006366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NT vùng chậu:</w:t>
            </w:r>
            <w:r w:rsidRPr="006366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g/8 giờ (IV). </w:t>
            </w:r>
            <w:r w:rsidRPr="006366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Suy thận</w:t>
            </w:r>
            <w:r w:rsidRPr="006366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khởi đầu 500 mg-1 g (IM/IV), duy trì theo ClCr. </w:t>
            </w:r>
            <w:r w:rsidRPr="006366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Trẻ ≥ 6 tháng tuổi:</w:t>
            </w:r>
            <w:r w:rsidRPr="006366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 mg/kg/6-8 giờ, có thể tăng 200 mg/kg/ngày nếu nặng, chia nhiều lần, tối đa 12 g/ngày. </w:t>
            </w:r>
            <w:r w:rsidRPr="006366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Trẻ &gt; 1 tháng tuổi:</w:t>
            </w:r>
            <w:r w:rsidRPr="006366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366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NT nhẹ-TB</w:t>
            </w:r>
            <w:r w:rsidRPr="006366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100-150 mg/kg, chia 3 lần/ngày. </w:t>
            </w:r>
            <w:r w:rsidRPr="006366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NT nặng</w:t>
            </w:r>
            <w:r w:rsidRPr="006366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150-200 mg/kg, chia 3-4 lần/ngày. </w:t>
            </w:r>
          </w:p>
        </w:tc>
      </w:tr>
      <w:tr w:rsidR="00517EE5" w:rsidRPr="00517EE5" w:rsidTr="007A096B">
        <w:trPr>
          <w:tblCellSpacing w:w="15" w:type="dxa"/>
        </w:trPr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7EE5" w:rsidRPr="00517EE5" w:rsidRDefault="00517EE5" w:rsidP="003B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4" w:name="Administration"/>
            <w:bookmarkEnd w:id="4"/>
            <w:r w:rsidRPr="00583B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Cách dùng</w:t>
            </w:r>
          </w:p>
        </w:tc>
        <w:tc>
          <w:tcPr>
            <w:tcW w:w="8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7EE5" w:rsidRPr="00517EE5" w:rsidRDefault="00517EE5" w:rsidP="003B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624">
              <w:rPr>
                <w:rFonts w:ascii="Times New Roman" w:eastAsia="Times New Roman" w:hAnsi="Times New Roman" w:cs="Times New Roman"/>
                <w:sz w:val="28"/>
                <w:szCs w:val="28"/>
              </w:rPr>
              <w:t>IM: Hòa tan 1 g với 3 mL hoặc 2 g với 6 mL nước cất pha tiêm, Lidocain 0.5%. Tiêm sâu vào cơ lớn (chia ra 2 bắp khác nhau), không tiêm quá 1 g/vị trí. IV: Hòa tan 1-2 g với 10 mL nước cất pha tiêm, NaCl 0.9%, Glucose 5% hoặc 10%. Tiêm chậm 3-5 phút, trực tiếp/qua dây truyền. Truyền IV nhỏ giọt: Hòa tan 1-2 g với 50-100 mL với dịch truyền Glucose, điện giải/acid amin, truyền ít nhất 15-30 phút.</w:t>
            </w:r>
          </w:p>
        </w:tc>
      </w:tr>
      <w:tr w:rsidR="00517EE5" w:rsidRPr="00517EE5" w:rsidTr="007A096B">
        <w:trPr>
          <w:tblCellSpacing w:w="15" w:type="dxa"/>
        </w:trPr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7EE5" w:rsidRPr="00517EE5" w:rsidRDefault="00517EE5" w:rsidP="003B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5" w:name="Contraindications"/>
            <w:bookmarkEnd w:id="5"/>
            <w:r w:rsidRPr="00583B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Chống chỉ định</w:t>
            </w:r>
          </w:p>
        </w:tc>
        <w:tc>
          <w:tcPr>
            <w:tcW w:w="8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7EE5" w:rsidRPr="00517EE5" w:rsidRDefault="00517EE5" w:rsidP="003B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6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Quá mẫn với thành phần thuốc, betalactam. Khi IM, không dùng Lidocain nếu có tiền sử quá mẫn thuốc gây tê tại chỗ dạng dẫn xuất </w:t>
            </w:r>
            <w:r w:rsidRPr="006366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amid. </w:t>
            </w:r>
          </w:p>
        </w:tc>
      </w:tr>
      <w:tr w:rsidR="00517EE5" w:rsidRPr="00517EE5" w:rsidTr="007A096B">
        <w:trPr>
          <w:tblCellSpacing w:w="15" w:type="dxa"/>
        </w:trPr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7EE5" w:rsidRPr="00517EE5" w:rsidRDefault="00517EE5" w:rsidP="003B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6" w:name="SpecialPrecautions"/>
            <w:bookmarkEnd w:id="6"/>
            <w:r w:rsidRPr="00583B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Thận Trọng</w:t>
            </w:r>
          </w:p>
        </w:tc>
        <w:tc>
          <w:tcPr>
            <w:tcW w:w="8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7EE5" w:rsidRPr="00517EE5" w:rsidRDefault="00517EE5" w:rsidP="003B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6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Nên làm kháng sinh đồ trước khi điều trị. Có thể xảy ra sốc (theo dõi biểu hiện quá mẫn cảm, thử test da trước khi điều trị, </w:t>
            </w:r>
            <w:proofErr w:type="gramStart"/>
            <w:r w:rsidRPr="00636624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gramEnd"/>
            <w:r w:rsidRPr="006366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bị phương tiện cấp cứu), gây (+) giả khi xét nghiệm đường niệu bằng dung dịch Benedict/Fehling, Clinitest, Coombs test trực tiếp. Tiền sử dị ứng cephalosporin, penicillin. Bệnh nhân/gia đình có cơ địa dị ứng (hen phế quản, phát ban, mề đay); suy thận nặng (giảm liều và tăng khoảng cách liều); ăn uống kém/nuôi dưỡng ngoài đường tiêu hóa, người già, cơ thể suy nhược (có thể bị thiếu vit K); tiền sử bệnh đường tiêu hóa (viêm đại tràng). Phụ nữ có thai/cho con bú. Trẻ sơ sinh/sinh </w:t>
            </w:r>
            <w:proofErr w:type="gramStart"/>
            <w:r w:rsidRPr="00636624">
              <w:rPr>
                <w:rFonts w:ascii="Times New Roman" w:eastAsia="Times New Roman" w:hAnsi="Times New Roman" w:cs="Times New Roman"/>
                <w:sz w:val="28"/>
                <w:szCs w:val="28"/>
              </w:rPr>
              <w:t>non</w:t>
            </w:r>
            <w:proofErr w:type="gramEnd"/>
            <w:r w:rsidRPr="006366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517EE5" w:rsidRPr="00517EE5" w:rsidTr="007A096B">
        <w:trPr>
          <w:tblCellSpacing w:w="15" w:type="dxa"/>
        </w:trPr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7EE5" w:rsidRPr="00517EE5" w:rsidRDefault="00517EE5" w:rsidP="003B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7" w:name="AdverseReactions"/>
            <w:bookmarkEnd w:id="7"/>
            <w:r w:rsidRPr="00583B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Phản ứng phụ</w:t>
            </w:r>
          </w:p>
        </w:tc>
        <w:tc>
          <w:tcPr>
            <w:tcW w:w="8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7EE5" w:rsidRPr="00517EE5" w:rsidRDefault="00517EE5" w:rsidP="008D4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6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Sốc (mệt, khó chịu khoang miệng, thở rít, choáng váng, muốn đại tiện, ù tai, vã mồ hôi), quá mẫn (đỏ da, mề đay, phát ban, sốt, sưng hạch bạch huyết, đau khớp); viêm da bong vảy, h/c Stevens-Johnson; thiếu máu, giảm bạch cầu hạt/bạch cầu/tiểu cầu, tăng bạch cầu ưa acid, thiếu máu tán huyết; tăng GOT/GPT/phosphatase kiềm/bilirubin/LDH, vàng da; suy thận nặng/cấp, tăng BUN/creatinin; viêm đại tràng nặng (viêm đại tràng giả mạc, đại tiện phân máu); đau bụng, tiêu chảy, buồn nôn, nôn mửa; viêm phổi kẽ/hội chứng PIE (sốt, ho, khó thở, X-quang phổi bất thường, tăng bạch cầu ưa acid; viêm miệng, nhiễm Candida, viêm âm đạo; thiếu vit K (giảm prothrombin, xuất huyết), thiếu vit B (viêm miệng/lưỡi, chán ăn, viêm thần kinh); nhức đầu. </w:t>
            </w:r>
          </w:p>
        </w:tc>
      </w:tr>
      <w:tr w:rsidR="00517EE5" w:rsidRPr="00517EE5" w:rsidTr="007A096B">
        <w:trPr>
          <w:tblCellSpacing w:w="15" w:type="dxa"/>
        </w:trPr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7EE5" w:rsidRPr="00517EE5" w:rsidRDefault="00517EE5" w:rsidP="003B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8" w:name="Interactions"/>
            <w:bookmarkEnd w:id="8"/>
            <w:r w:rsidRPr="00583B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Tương tác</w:t>
            </w:r>
          </w:p>
        </w:tc>
        <w:tc>
          <w:tcPr>
            <w:tcW w:w="8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7EE5" w:rsidRPr="00517EE5" w:rsidRDefault="00517EE5" w:rsidP="003B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6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Dùng chung aminoside làm tăng nguy cơ độc tính trên thận. Probenecid làm giảm thanh thải ceftizoxim. </w:t>
            </w:r>
          </w:p>
        </w:tc>
      </w:tr>
    </w:tbl>
    <w:p w:rsidR="00517EE5" w:rsidRPr="00735C61" w:rsidRDefault="00517EE5" w:rsidP="003B2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9" w:name="PregnancyCategory"/>
      <w:bookmarkEnd w:id="9"/>
    </w:p>
    <w:p w:rsidR="00735C61" w:rsidRPr="00D15275" w:rsidRDefault="00735C61" w:rsidP="003B2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35C61">
        <w:rPr>
          <w:rFonts w:ascii="Times New Roman" w:eastAsia="Times New Roman" w:hAnsi="Times New Roman" w:cs="Times New Roman"/>
          <w:b/>
          <w:i/>
          <w:sz w:val="26"/>
          <w:szCs w:val="26"/>
        </w:rPr>
        <w:t>Nơi nhận:</w:t>
      </w:r>
      <w:r w:rsidR="00D1527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             </w:t>
      </w:r>
      <w:r w:rsidR="0055036E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                            </w:t>
      </w:r>
      <w:r w:rsidR="00D1527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  </w:t>
      </w:r>
      <w:r w:rsidR="00D15275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55036E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D15275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C838E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</w:t>
      </w:r>
      <w:r w:rsidR="00D15275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C838EC">
        <w:rPr>
          <w:rFonts w:ascii="Times New Roman" w:eastAsia="Times New Roman" w:hAnsi="Times New Roman" w:cs="Times New Roman"/>
          <w:b/>
          <w:sz w:val="28"/>
          <w:szCs w:val="28"/>
        </w:rPr>
        <w:t>Ng</w:t>
      </w:r>
      <w:r w:rsidR="00C838EC" w:rsidRPr="00C838EC">
        <w:rPr>
          <w:rFonts w:ascii="Times New Roman" w:eastAsia="Times New Roman" w:hAnsi="Times New Roman" w:cs="Times New Roman"/>
          <w:b/>
          <w:sz w:val="28"/>
          <w:szCs w:val="28"/>
        </w:rPr>
        <w:t>ười</w:t>
      </w:r>
      <w:r w:rsidR="00C838EC">
        <w:rPr>
          <w:rFonts w:ascii="Times New Roman" w:eastAsia="Times New Roman" w:hAnsi="Times New Roman" w:cs="Times New Roman"/>
          <w:b/>
          <w:sz w:val="28"/>
          <w:szCs w:val="28"/>
        </w:rPr>
        <w:t xml:space="preserve"> cung c</w:t>
      </w:r>
      <w:r w:rsidR="00C838EC" w:rsidRPr="00C838EC">
        <w:rPr>
          <w:rFonts w:ascii="Times New Roman" w:eastAsia="Times New Roman" w:hAnsi="Times New Roman" w:cs="Times New Roman"/>
          <w:b/>
          <w:sz w:val="28"/>
          <w:szCs w:val="28"/>
        </w:rPr>
        <w:t>ấp</w:t>
      </w:r>
      <w:r w:rsidR="00C838EC">
        <w:rPr>
          <w:rFonts w:ascii="Times New Roman" w:eastAsia="Times New Roman" w:hAnsi="Times New Roman" w:cs="Times New Roman"/>
          <w:b/>
          <w:sz w:val="28"/>
          <w:szCs w:val="28"/>
        </w:rPr>
        <w:t xml:space="preserve"> th</w:t>
      </w:r>
      <w:r w:rsidR="00C838EC" w:rsidRPr="00C838EC">
        <w:rPr>
          <w:rFonts w:ascii="Times New Roman" w:eastAsia="Times New Roman" w:hAnsi="Times New Roman" w:cs="Times New Roman"/>
          <w:b/>
          <w:sz w:val="28"/>
          <w:szCs w:val="28"/>
        </w:rPr>
        <w:t>ô</w:t>
      </w:r>
      <w:r w:rsidR="00C838EC">
        <w:rPr>
          <w:rFonts w:ascii="Times New Roman" w:eastAsia="Times New Roman" w:hAnsi="Times New Roman" w:cs="Times New Roman"/>
          <w:b/>
          <w:sz w:val="28"/>
          <w:szCs w:val="28"/>
        </w:rPr>
        <w:t>ng tin</w:t>
      </w:r>
    </w:p>
    <w:p w:rsidR="00735C61" w:rsidRPr="00735C61" w:rsidRDefault="00735C61" w:rsidP="003B2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C61">
        <w:rPr>
          <w:rFonts w:ascii="Times New Roman" w:eastAsia="Times New Roman" w:hAnsi="Times New Roman" w:cs="Times New Roman"/>
          <w:sz w:val="26"/>
          <w:szCs w:val="26"/>
        </w:rPr>
        <w:t>- Như trên;</w:t>
      </w:r>
    </w:p>
    <w:p w:rsidR="00735C61" w:rsidRPr="00735C61" w:rsidRDefault="00735C61" w:rsidP="003B2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C61">
        <w:rPr>
          <w:rFonts w:ascii="Times New Roman" w:eastAsia="Times New Roman" w:hAnsi="Times New Roman" w:cs="Times New Roman"/>
          <w:sz w:val="26"/>
          <w:szCs w:val="26"/>
        </w:rPr>
        <w:t>-Website Bệnh viện;</w:t>
      </w:r>
    </w:p>
    <w:p w:rsidR="00735C61" w:rsidRDefault="00735C61" w:rsidP="003B2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5C61">
        <w:rPr>
          <w:rFonts w:ascii="Times New Roman" w:eastAsia="Times New Roman" w:hAnsi="Times New Roman" w:cs="Times New Roman"/>
          <w:sz w:val="26"/>
          <w:szCs w:val="26"/>
        </w:rPr>
        <w:t>- Lưu: P. TTT</w:t>
      </w:r>
    </w:p>
    <w:p w:rsidR="0055036E" w:rsidRDefault="0055036E" w:rsidP="003B2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994C5C" w:rsidRDefault="00994C5C" w:rsidP="003B2F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036E" w:rsidRPr="00517EE5" w:rsidRDefault="0055036E" w:rsidP="003B2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C838EC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C838EC">
        <w:rPr>
          <w:rFonts w:ascii="Times New Roman" w:eastAsia="Times New Roman" w:hAnsi="Times New Roman" w:cs="Times New Roman"/>
          <w:b/>
          <w:sz w:val="28"/>
          <w:szCs w:val="28"/>
        </w:rPr>
        <w:t>Ds. H</w:t>
      </w:r>
      <w:r w:rsidR="00C838EC" w:rsidRPr="00C838EC">
        <w:rPr>
          <w:rFonts w:ascii="Times New Roman" w:eastAsia="Times New Roman" w:hAnsi="Times New Roman" w:cs="Times New Roman"/>
          <w:b/>
          <w:sz w:val="28"/>
          <w:szCs w:val="28"/>
        </w:rPr>
        <w:t>ồ</w:t>
      </w:r>
      <w:r w:rsidR="00C838EC">
        <w:rPr>
          <w:rFonts w:ascii="Times New Roman" w:eastAsia="Times New Roman" w:hAnsi="Times New Roman" w:cs="Times New Roman"/>
          <w:b/>
          <w:sz w:val="28"/>
          <w:szCs w:val="28"/>
        </w:rPr>
        <w:t xml:space="preserve"> Th</w:t>
      </w:r>
      <w:r w:rsidR="00C838EC" w:rsidRPr="00C838EC">
        <w:rPr>
          <w:rFonts w:ascii="Times New Roman" w:eastAsia="Times New Roman" w:hAnsi="Times New Roman" w:cs="Times New Roman"/>
          <w:b/>
          <w:sz w:val="28"/>
          <w:szCs w:val="28"/>
        </w:rPr>
        <w:t>ị</w:t>
      </w:r>
      <w:r w:rsidR="00C838EC">
        <w:rPr>
          <w:rFonts w:ascii="Times New Roman" w:eastAsia="Times New Roman" w:hAnsi="Times New Roman" w:cs="Times New Roman"/>
          <w:b/>
          <w:sz w:val="28"/>
          <w:szCs w:val="28"/>
        </w:rPr>
        <w:t xml:space="preserve"> C</w:t>
      </w:r>
      <w:r w:rsidR="00C838EC" w:rsidRPr="00C838EC">
        <w:rPr>
          <w:rFonts w:ascii="Times New Roman" w:eastAsia="Times New Roman" w:hAnsi="Times New Roman" w:cs="Times New Roman"/>
          <w:b/>
          <w:sz w:val="28"/>
          <w:szCs w:val="28"/>
        </w:rPr>
        <w:t>úc</w:t>
      </w:r>
    </w:p>
    <w:p w:rsidR="00CF28DF" w:rsidRPr="0055036E" w:rsidRDefault="00CF28DF">
      <w:pPr>
        <w:rPr>
          <w:rFonts w:ascii="Times New Roman" w:hAnsi="Times New Roman" w:cs="Times New Roman"/>
          <w:b/>
          <w:sz w:val="28"/>
          <w:szCs w:val="28"/>
        </w:rPr>
      </w:pPr>
      <w:bookmarkStart w:id="10" w:name="PP"/>
      <w:bookmarkEnd w:id="10"/>
    </w:p>
    <w:sectPr w:rsidR="00CF28DF" w:rsidRPr="0055036E" w:rsidSect="00300A77">
      <w:pgSz w:w="12240" w:h="15840"/>
      <w:pgMar w:top="709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C304A"/>
    <w:multiLevelType w:val="multilevel"/>
    <w:tmpl w:val="181E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146132"/>
    <w:multiLevelType w:val="multilevel"/>
    <w:tmpl w:val="1512C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17EE5"/>
    <w:rsid w:val="000121C2"/>
    <w:rsid w:val="00091647"/>
    <w:rsid w:val="000A2BBF"/>
    <w:rsid w:val="000F31B4"/>
    <w:rsid w:val="00125C85"/>
    <w:rsid w:val="00261ABA"/>
    <w:rsid w:val="00300A77"/>
    <w:rsid w:val="003903E9"/>
    <w:rsid w:val="003B2F2A"/>
    <w:rsid w:val="003E4082"/>
    <w:rsid w:val="0044474A"/>
    <w:rsid w:val="00517EE5"/>
    <w:rsid w:val="0055036E"/>
    <w:rsid w:val="00583B1F"/>
    <w:rsid w:val="00636624"/>
    <w:rsid w:val="00645936"/>
    <w:rsid w:val="00735C61"/>
    <w:rsid w:val="007A096B"/>
    <w:rsid w:val="007C3950"/>
    <w:rsid w:val="007F20C8"/>
    <w:rsid w:val="0084081E"/>
    <w:rsid w:val="00867E1A"/>
    <w:rsid w:val="008C3B93"/>
    <w:rsid w:val="008D35CC"/>
    <w:rsid w:val="008D4FEC"/>
    <w:rsid w:val="00994C5C"/>
    <w:rsid w:val="00A65D79"/>
    <w:rsid w:val="00AF3A85"/>
    <w:rsid w:val="00C145C7"/>
    <w:rsid w:val="00C24A19"/>
    <w:rsid w:val="00C26B37"/>
    <w:rsid w:val="00C838EC"/>
    <w:rsid w:val="00CF28DF"/>
    <w:rsid w:val="00CF2F02"/>
    <w:rsid w:val="00D15275"/>
    <w:rsid w:val="00DD1D72"/>
    <w:rsid w:val="00F458E1"/>
    <w:rsid w:val="00F90083"/>
    <w:rsid w:val="00FD4D9C"/>
    <w:rsid w:val="00FE4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8DF"/>
  </w:style>
  <w:style w:type="paragraph" w:styleId="Heading1">
    <w:name w:val="heading 1"/>
    <w:basedOn w:val="Normal"/>
    <w:link w:val="Heading1Char"/>
    <w:uiPriority w:val="9"/>
    <w:qFormat/>
    <w:rsid w:val="00517E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E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517EE5"/>
    <w:rPr>
      <w:color w:val="0000FF"/>
      <w:u w:val="single"/>
    </w:rPr>
  </w:style>
  <w:style w:type="character" w:customStyle="1" w:styleId="xsmallnormaltextblue">
    <w:name w:val="xsmallnormaltextblue"/>
    <w:basedOn w:val="DefaultParagraphFont"/>
    <w:rsid w:val="00517EE5"/>
  </w:style>
  <w:style w:type="character" w:customStyle="1" w:styleId="normaltext">
    <w:name w:val="normaltext"/>
    <w:basedOn w:val="DefaultParagraphFont"/>
    <w:rsid w:val="00517EE5"/>
  </w:style>
  <w:style w:type="character" w:styleId="Emphasis">
    <w:name w:val="Emphasis"/>
    <w:basedOn w:val="DefaultParagraphFont"/>
    <w:uiPriority w:val="20"/>
    <w:qFormat/>
    <w:rsid w:val="00517EE5"/>
    <w:rPr>
      <w:i/>
      <w:iCs/>
    </w:rPr>
  </w:style>
  <w:style w:type="character" w:styleId="Strong">
    <w:name w:val="Strong"/>
    <w:basedOn w:val="DefaultParagraphFont"/>
    <w:uiPriority w:val="22"/>
    <w:qFormat/>
    <w:rsid w:val="00517EE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E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2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8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0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37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20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2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40</cp:revision>
  <cp:lastPrinted>2017-01-16T03:58:00Z</cp:lastPrinted>
  <dcterms:created xsi:type="dcterms:W3CDTF">2017-01-16T03:10:00Z</dcterms:created>
  <dcterms:modified xsi:type="dcterms:W3CDTF">2017-01-16T06:52:00Z</dcterms:modified>
</cp:coreProperties>
</file>